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8D" w:rsidRDefault="001E28AB" w:rsidP="00482F8D">
      <w:pPr>
        <w:jc w:val="center"/>
        <w:rPr>
          <w:rFonts w:ascii="方正小标宋简体" w:eastAsia="方正小标宋简体" w:hAnsi="方正小标宋简体" w:cs="宋体"/>
          <w:color w:val="000000"/>
          <w:kern w:val="0"/>
          <w:sz w:val="32"/>
          <w:szCs w:val="32"/>
        </w:rPr>
      </w:pPr>
      <w:r w:rsidRPr="00482F8D">
        <w:rPr>
          <w:rFonts w:ascii="方正小标宋简体" w:eastAsia="方正小标宋简体" w:hAnsi="方正小标宋简体" w:cs="宋体" w:hint="eastAsia"/>
          <w:color w:val="000000"/>
          <w:kern w:val="0"/>
          <w:sz w:val="32"/>
          <w:szCs w:val="32"/>
        </w:rPr>
        <w:t>汉江师范学院资产损坏、丢失责任认定表</w:t>
      </w:r>
    </w:p>
    <w:p w:rsidR="006C1F6A" w:rsidRPr="009D50BF" w:rsidRDefault="006C1F6A" w:rsidP="00A05C50">
      <w:pPr>
        <w:ind w:right="560" w:firstLineChars="2200" w:firstLine="6160"/>
        <w:rPr>
          <w:rFonts w:ascii="黑体" w:eastAsia="黑体" w:hAnsi="黑体" w:cs="Times New Roman"/>
          <w:sz w:val="28"/>
          <w:szCs w:val="28"/>
        </w:rPr>
      </w:pPr>
      <w:r w:rsidRPr="009D50BF">
        <w:rPr>
          <w:rFonts w:ascii="黑体" w:eastAsia="黑体" w:hAnsi="黑体" w:cs="Times New Roman" w:hint="eastAsia"/>
          <w:sz w:val="28"/>
          <w:szCs w:val="28"/>
        </w:rPr>
        <w:t xml:space="preserve">编号：         </w:t>
      </w:r>
    </w:p>
    <w:tbl>
      <w:tblPr>
        <w:tblStyle w:val="a3"/>
        <w:tblW w:w="0" w:type="auto"/>
        <w:tblLook w:val="04A0" w:firstRow="1" w:lastRow="0" w:firstColumn="1" w:lastColumn="0" w:noHBand="0" w:noVBand="1"/>
      </w:tblPr>
      <w:tblGrid>
        <w:gridCol w:w="675"/>
        <w:gridCol w:w="1294"/>
        <w:gridCol w:w="2262"/>
        <w:gridCol w:w="1555"/>
        <w:gridCol w:w="2736"/>
      </w:tblGrid>
      <w:tr w:rsidR="00A05C50" w:rsidRPr="009D50BF" w:rsidTr="00A05C50">
        <w:trPr>
          <w:trHeight w:val="567"/>
        </w:trPr>
        <w:tc>
          <w:tcPr>
            <w:tcW w:w="675" w:type="dxa"/>
            <w:vMerge w:val="restart"/>
            <w:vAlign w:val="center"/>
          </w:tcPr>
          <w:p w:rsidR="00A05C50" w:rsidRPr="009D50BF" w:rsidRDefault="00A05C50" w:rsidP="00A05C50">
            <w:pPr>
              <w:jc w:val="center"/>
              <w:rPr>
                <w:rFonts w:ascii="黑体" w:eastAsia="黑体" w:hAnsi="黑体" w:cs="Times New Roman"/>
                <w:szCs w:val="20"/>
              </w:rPr>
            </w:pPr>
            <w:r w:rsidRPr="00677DF2">
              <w:rPr>
                <w:rFonts w:ascii="黑体" w:eastAsia="黑体" w:hAnsi="黑体" w:cs="Times New Roman" w:hint="eastAsia"/>
                <w:sz w:val="24"/>
                <w:szCs w:val="24"/>
              </w:rPr>
              <w:t>资产基本信息</w:t>
            </w:r>
          </w:p>
        </w:tc>
        <w:tc>
          <w:tcPr>
            <w:tcW w:w="1294" w:type="dxa"/>
            <w:vAlign w:val="center"/>
          </w:tcPr>
          <w:p w:rsidR="00A05C50" w:rsidRPr="009D50BF" w:rsidRDefault="00A05C50" w:rsidP="00A05C50">
            <w:pPr>
              <w:jc w:val="center"/>
              <w:rPr>
                <w:rFonts w:ascii="黑体" w:eastAsia="黑体" w:hAnsi="黑体" w:cs="Times New Roman"/>
                <w:szCs w:val="20"/>
              </w:rPr>
            </w:pPr>
            <w:r w:rsidRPr="009D50BF">
              <w:rPr>
                <w:rFonts w:ascii="黑体" w:eastAsia="黑体" w:hAnsi="黑体" w:cs="Times New Roman" w:hint="eastAsia"/>
                <w:szCs w:val="20"/>
              </w:rPr>
              <w:t>资产名称</w:t>
            </w:r>
          </w:p>
        </w:tc>
        <w:tc>
          <w:tcPr>
            <w:tcW w:w="2262" w:type="dxa"/>
            <w:vAlign w:val="center"/>
          </w:tcPr>
          <w:p w:rsidR="00A05C50" w:rsidRPr="009D50BF" w:rsidRDefault="00A05C50" w:rsidP="005F24A4">
            <w:pPr>
              <w:jc w:val="center"/>
              <w:rPr>
                <w:rFonts w:ascii="黑体" w:eastAsia="黑体" w:hAnsi="黑体" w:cs="Times New Roman"/>
                <w:szCs w:val="20"/>
              </w:rPr>
            </w:pPr>
          </w:p>
        </w:tc>
        <w:tc>
          <w:tcPr>
            <w:tcW w:w="1555" w:type="dxa"/>
            <w:vAlign w:val="center"/>
          </w:tcPr>
          <w:p w:rsidR="00A05C50" w:rsidRPr="009D50BF" w:rsidRDefault="00A05C50" w:rsidP="00A05C50">
            <w:pPr>
              <w:jc w:val="center"/>
              <w:rPr>
                <w:rFonts w:ascii="黑体" w:eastAsia="黑体" w:hAnsi="黑体" w:cs="Times New Roman"/>
                <w:szCs w:val="20"/>
              </w:rPr>
            </w:pPr>
            <w:r w:rsidRPr="009D50BF">
              <w:rPr>
                <w:rFonts w:ascii="黑体" w:eastAsia="黑体" w:hAnsi="黑体" w:cs="Times New Roman" w:hint="eastAsia"/>
                <w:szCs w:val="20"/>
              </w:rPr>
              <w:t>资产编号</w:t>
            </w:r>
          </w:p>
        </w:tc>
        <w:tc>
          <w:tcPr>
            <w:tcW w:w="2736" w:type="dxa"/>
            <w:vAlign w:val="center"/>
          </w:tcPr>
          <w:p w:rsidR="00A05C50" w:rsidRPr="009D50BF" w:rsidRDefault="00A05C50" w:rsidP="005F24A4">
            <w:pPr>
              <w:jc w:val="center"/>
              <w:rPr>
                <w:rFonts w:ascii="黑体" w:eastAsia="黑体" w:hAnsi="黑体" w:cs="Times New Roman"/>
                <w:szCs w:val="20"/>
              </w:rPr>
            </w:pPr>
          </w:p>
        </w:tc>
      </w:tr>
      <w:tr w:rsidR="00A05C50" w:rsidRPr="009D50BF" w:rsidTr="00A05C50">
        <w:trPr>
          <w:trHeight w:val="567"/>
        </w:trPr>
        <w:tc>
          <w:tcPr>
            <w:tcW w:w="675" w:type="dxa"/>
            <w:vMerge/>
            <w:vAlign w:val="center"/>
          </w:tcPr>
          <w:p w:rsidR="00A05C50" w:rsidRPr="009D50BF" w:rsidRDefault="00A05C50" w:rsidP="00A05C50">
            <w:pPr>
              <w:jc w:val="center"/>
              <w:rPr>
                <w:rFonts w:ascii="黑体" w:eastAsia="黑体" w:hAnsi="黑体" w:cs="Times New Roman"/>
                <w:szCs w:val="20"/>
              </w:rPr>
            </w:pPr>
          </w:p>
        </w:tc>
        <w:tc>
          <w:tcPr>
            <w:tcW w:w="1294" w:type="dxa"/>
            <w:vAlign w:val="center"/>
          </w:tcPr>
          <w:p w:rsidR="00A05C50" w:rsidRPr="009D50BF" w:rsidRDefault="00A05C50" w:rsidP="005F24A4">
            <w:pPr>
              <w:jc w:val="center"/>
              <w:rPr>
                <w:rFonts w:ascii="黑体" w:eastAsia="黑体" w:hAnsi="黑体" w:cs="Times New Roman"/>
                <w:szCs w:val="20"/>
              </w:rPr>
            </w:pPr>
            <w:r w:rsidRPr="009D50BF">
              <w:rPr>
                <w:rFonts w:ascii="黑体" w:eastAsia="黑体" w:hAnsi="黑体" w:cs="Times New Roman" w:hint="eastAsia"/>
                <w:szCs w:val="20"/>
              </w:rPr>
              <w:t>规格型号</w:t>
            </w:r>
          </w:p>
        </w:tc>
        <w:tc>
          <w:tcPr>
            <w:tcW w:w="2262" w:type="dxa"/>
            <w:vAlign w:val="center"/>
          </w:tcPr>
          <w:p w:rsidR="00A05C50" w:rsidRPr="009D50BF" w:rsidRDefault="00A05C50" w:rsidP="005F24A4">
            <w:pPr>
              <w:jc w:val="center"/>
              <w:rPr>
                <w:rFonts w:ascii="黑体" w:eastAsia="黑体" w:hAnsi="黑体" w:cs="Times New Roman"/>
                <w:szCs w:val="20"/>
              </w:rPr>
            </w:pPr>
          </w:p>
        </w:tc>
        <w:tc>
          <w:tcPr>
            <w:tcW w:w="1555" w:type="dxa"/>
            <w:vAlign w:val="center"/>
          </w:tcPr>
          <w:p w:rsidR="00A05C50" w:rsidRPr="00B61A9E" w:rsidRDefault="00A05C50" w:rsidP="005F24A4">
            <w:pPr>
              <w:jc w:val="center"/>
              <w:rPr>
                <w:rFonts w:ascii="黑体" w:eastAsia="黑体" w:hAnsi="黑体" w:cs="Times New Roman"/>
                <w:color w:val="000000" w:themeColor="text1"/>
                <w:szCs w:val="20"/>
              </w:rPr>
            </w:pPr>
            <w:r w:rsidRPr="00B61A9E">
              <w:rPr>
                <w:rFonts w:ascii="黑体" w:eastAsia="黑体" w:hAnsi="黑体" w:cs="Times New Roman" w:hint="eastAsia"/>
                <w:color w:val="000000" w:themeColor="text1"/>
                <w:szCs w:val="20"/>
              </w:rPr>
              <w:t>单    价</w:t>
            </w:r>
          </w:p>
        </w:tc>
        <w:tc>
          <w:tcPr>
            <w:tcW w:w="2736" w:type="dxa"/>
            <w:vAlign w:val="center"/>
          </w:tcPr>
          <w:p w:rsidR="00A05C50" w:rsidRPr="009D50BF" w:rsidRDefault="00A05C50" w:rsidP="005F24A4">
            <w:pPr>
              <w:jc w:val="center"/>
              <w:rPr>
                <w:rFonts w:ascii="黑体" w:eastAsia="黑体" w:hAnsi="黑体" w:cs="Times New Roman"/>
                <w:szCs w:val="20"/>
              </w:rPr>
            </w:pPr>
          </w:p>
        </w:tc>
      </w:tr>
      <w:tr w:rsidR="00A05C50" w:rsidRPr="009D50BF" w:rsidTr="00A05C50">
        <w:trPr>
          <w:trHeight w:val="567"/>
        </w:trPr>
        <w:tc>
          <w:tcPr>
            <w:tcW w:w="675" w:type="dxa"/>
            <w:vMerge/>
            <w:vAlign w:val="center"/>
          </w:tcPr>
          <w:p w:rsidR="00A05C50" w:rsidRPr="009D50BF" w:rsidRDefault="00A05C50" w:rsidP="00A05C50">
            <w:pPr>
              <w:jc w:val="center"/>
              <w:rPr>
                <w:rFonts w:ascii="黑体" w:eastAsia="黑体" w:hAnsi="黑体" w:cs="Times New Roman"/>
                <w:szCs w:val="20"/>
              </w:rPr>
            </w:pPr>
          </w:p>
        </w:tc>
        <w:tc>
          <w:tcPr>
            <w:tcW w:w="1294" w:type="dxa"/>
            <w:vAlign w:val="center"/>
          </w:tcPr>
          <w:p w:rsidR="00A05C50" w:rsidRPr="009D50BF" w:rsidRDefault="00A05C50" w:rsidP="005F24A4">
            <w:pPr>
              <w:jc w:val="center"/>
              <w:rPr>
                <w:rFonts w:ascii="黑体" w:eastAsia="黑体" w:hAnsi="黑体" w:cs="Times New Roman"/>
                <w:szCs w:val="20"/>
              </w:rPr>
            </w:pPr>
            <w:r w:rsidRPr="009D50BF">
              <w:rPr>
                <w:rFonts w:ascii="黑体" w:eastAsia="黑体" w:hAnsi="黑体" w:cs="Times New Roman" w:hint="eastAsia"/>
                <w:szCs w:val="20"/>
              </w:rPr>
              <w:t>购置日期</w:t>
            </w:r>
          </w:p>
        </w:tc>
        <w:tc>
          <w:tcPr>
            <w:tcW w:w="2262" w:type="dxa"/>
            <w:vAlign w:val="center"/>
          </w:tcPr>
          <w:p w:rsidR="00A05C50" w:rsidRPr="009D50BF" w:rsidRDefault="00A05C50" w:rsidP="005F24A4">
            <w:pPr>
              <w:jc w:val="center"/>
              <w:rPr>
                <w:rFonts w:ascii="黑体" w:eastAsia="黑体" w:hAnsi="黑体" w:cs="Times New Roman"/>
                <w:szCs w:val="20"/>
              </w:rPr>
            </w:pPr>
          </w:p>
        </w:tc>
        <w:tc>
          <w:tcPr>
            <w:tcW w:w="1555" w:type="dxa"/>
            <w:vAlign w:val="center"/>
          </w:tcPr>
          <w:p w:rsidR="00A05C50" w:rsidRPr="009D50BF" w:rsidRDefault="00A05C50" w:rsidP="005F24A4">
            <w:pPr>
              <w:jc w:val="center"/>
              <w:rPr>
                <w:rFonts w:ascii="黑体" w:eastAsia="黑体" w:hAnsi="黑体" w:cs="Times New Roman"/>
                <w:szCs w:val="20"/>
              </w:rPr>
            </w:pPr>
            <w:r w:rsidRPr="009D50BF">
              <w:rPr>
                <w:rFonts w:ascii="黑体" w:eastAsia="黑体" w:hAnsi="黑体" w:cs="Times New Roman" w:hint="eastAsia"/>
                <w:szCs w:val="20"/>
              </w:rPr>
              <w:t>存放地点</w:t>
            </w:r>
          </w:p>
        </w:tc>
        <w:tc>
          <w:tcPr>
            <w:tcW w:w="2736" w:type="dxa"/>
            <w:vAlign w:val="center"/>
          </w:tcPr>
          <w:p w:rsidR="00A05C50" w:rsidRPr="009D50BF" w:rsidRDefault="00A05C50" w:rsidP="005F24A4">
            <w:pPr>
              <w:jc w:val="center"/>
              <w:rPr>
                <w:rFonts w:ascii="黑体" w:eastAsia="黑体" w:hAnsi="黑体" w:cs="Times New Roman"/>
                <w:szCs w:val="20"/>
              </w:rPr>
            </w:pPr>
          </w:p>
        </w:tc>
      </w:tr>
      <w:tr w:rsidR="00A05C50" w:rsidRPr="009D50BF" w:rsidTr="00A05C50">
        <w:trPr>
          <w:trHeight w:val="567"/>
        </w:trPr>
        <w:tc>
          <w:tcPr>
            <w:tcW w:w="675" w:type="dxa"/>
            <w:vMerge/>
            <w:vAlign w:val="center"/>
          </w:tcPr>
          <w:p w:rsidR="00A05C50" w:rsidRPr="009D50BF" w:rsidRDefault="00A05C50" w:rsidP="00A05C50">
            <w:pPr>
              <w:jc w:val="center"/>
              <w:rPr>
                <w:rFonts w:ascii="黑体" w:eastAsia="黑体" w:hAnsi="黑体" w:cs="Times New Roman"/>
                <w:szCs w:val="20"/>
              </w:rPr>
            </w:pPr>
          </w:p>
        </w:tc>
        <w:tc>
          <w:tcPr>
            <w:tcW w:w="1294" w:type="dxa"/>
            <w:vAlign w:val="center"/>
          </w:tcPr>
          <w:p w:rsidR="00A05C50" w:rsidRPr="009D50BF" w:rsidRDefault="00A05C50" w:rsidP="005F24A4">
            <w:pPr>
              <w:jc w:val="center"/>
              <w:rPr>
                <w:rFonts w:ascii="黑体" w:eastAsia="黑体" w:hAnsi="黑体" w:cs="Times New Roman"/>
                <w:szCs w:val="20"/>
              </w:rPr>
            </w:pPr>
            <w:r w:rsidRPr="009D50BF">
              <w:rPr>
                <w:rFonts w:ascii="黑体" w:eastAsia="黑体" w:hAnsi="黑体" w:cs="Times New Roman" w:hint="eastAsia"/>
                <w:szCs w:val="20"/>
              </w:rPr>
              <w:t>使用单位</w:t>
            </w:r>
          </w:p>
        </w:tc>
        <w:tc>
          <w:tcPr>
            <w:tcW w:w="2262" w:type="dxa"/>
            <w:vAlign w:val="center"/>
          </w:tcPr>
          <w:p w:rsidR="00A05C50" w:rsidRPr="009D50BF" w:rsidRDefault="00A05C50" w:rsidP="005F24A4">
            <w:pPr>
              <w:jc w:val="center"/>
              <w:rPr>
                <w:rFonts w:ascii="黑体" w:eastAsia="黑体" w:hAnsi="黑体" w:cs="Times New Roman"/>
                <w:szCs w:val="20"/>
              </w:rPr>
            </w:pPr>
          </w:p>
        </w:tc>
        <w:tc>
          <w:tcPr>
            <w:tcW w:w="1555" w:type="dxa"/>
            <w:vAlign w:val="center"/>
          </w:tcPr>
          <w:p w:rsidR="00A05C50" w:rsidRPr="009D50BF" w:rsidRDefault="00A05C50" w:rsidP="005F24A4">
            <w:pPr>
              <w:jc w:val="center"/>
              <w:rPr>
                <w:rFonts w:ascii="黑体" w:eastAsia="黑体" w:hAnsi="黑体" w:cs="Times New Roman"/>
                <w:szCs w:val="20"/>
              </w:rPr>
            </w:pPr>
            <w:r w:rsidRPr="009D50BF">
              <w:rPr>
                <w:rFonts w:ascii="黑体" w:eastAsia="黑体" w:hAnsi="黑体" w:cs="Times New Roman" w:hint="eastAsia"/>
                <w:szCs w:val="20"/>
              </w:rPr>
              <w:t>联系人</w:t>
            </w:r>
          </w:p>
        </w:tc>
        <w:tc>
          <w:tcPr>
            <w:tcW w:w="2736" w:type="dxa"/>
            <w:vAlign w:val="center"/>
          </w:tcPr>
          <w:p w:rsidR="00A05C50" w:rsidRPr="009D50BF" w:rsidRDefault="00A05C50" w:rsidP="005F24A4">
            <w:pPr>
              <w:jc w:val="center"/>
              <w:rPr>
                <w:rFonts w:ascii="黑体" w:eastAsia="黑体" w:hAnsi="黑体" w:cs="Times New Roman"/>
                <w:szCs w:val="20"/>
              </w:rPr>
            </w:pPr>
          </w:p>
        </w:tc>
      </w:tr>
      <w:tr w:rsidR="000D0F10" w:rsidRPr="009D50BF" w:rsidTr="005B634D">
        <w:trPr>
          <w:trHeight w:val="807"/>
        </w:trPr>
        <w:tc>
          <w:tcPr>
            <w:tcW w:w="8522" w:type="dxa"/>
            <w:gridSpan w:val="5"/>
          </w:tcPr>
          <w:p w:rsidR="000D0F10" w:rsidRPr="009D50BF" w:rsidRDefault="00B72311" w:rsidP="00A7367F">
            <w:pPr>
              <w:jc w:val="left"/>
              <w:rPr>
                <w:rFonts w:ascii="黑体" w:eastAsia="黑体" w:hAnsi="黑体" w:cs="Times New Roman"/>
                <w:szCs w:val="20"/>
              </w:rPr>
            </w:pPr>
            <w:r>
              <w:rPr>
                <w:rFonts w:ascii="黑体" w:eastAsia="黑体" w:hAnsi="黑体" w:cs="Times New Roman" w:hint="eastAsia"/>
                <w:szCs w:val="20"/>
              </w:rPr>
              <w:t>1.</w:t>
            </w:r>
            <w:r w:rsidR="000D0F10" w:rsidRPr="009D50BF">
              <w:rPr>
                <w:rFonts w:ascii="黑体" w:eastAsia="黑体" w:hAnsi="黑体" w:cs="Times New Roman" w:hint="eastAsia"/>
                <w:szCs w:val="20"/>
              </w:rPr>
              <w:t>损坏、丢失情况说明（</w:t>
            </w:r>
            <w:r w:rsidR="00A7367F" w:rsidRPr="009D50BF">
              <w:rPr>
                <w:rFonts w:ascii="黑体" w:eastAsia="黑体" w:hAnsi="黑体" w:cs="Times New Roman" w:hint="eastAsia"/>
                <w:szCs w:val="20"/>
              </w:rPr>
              <w:t>资产被盗需提供保卫处的相关证明材料</w:t>
            </w:r>
            <w:r w:rsidR="000D0F10" w:rsidRPr="009D50BF">
              <w:rPr>
                <w:rFonts w:ascii="黑体" w:eastAsia="黑体" w:hAnsi="黑体" w:cs="Times New Roman" w:hint="eastAsia"/>
                <w:szCs w:val="20"/>
              </w:rPr>
              <w:t>）</w:t>
            </w:r>
          </w:p>
          <w:p w:rsidR="00A7367F" w:rsidRPr="009D50BF" w:rsidRDefault="00A7367F" w:rsidP="00A7367F">
            <w:pPr>
              <w:jc w:val="right"/>
              <w:rPr>
                <w:rFonts w:ascii="黑体" w:eastAsia="黑体" w:hAnsi="黑体" w:cs="Times New Roman"/>
                <w:szCs w:val="20"/>
              </w:rPr>
            </w:pPr>
          </w:p>
          <w:p w:rsidR="00A7367F" w:rsidRPr="009D50BF" w:rsidRDefault="00A7367F" w:rsidP="00A7367F">
            <w:pPr>
              <w:jc w:val="right"/>
              <w:rPr>
                <w:rFonts w:ascii="黑体" w:eastAsia="黑体" w:hAnsi="黑体" w:cs="Times New Roman"/>
                <w:szCs w:val="20"/>
              </w:rPr>
            </w:pPr>
          </w:p>
          <w:p w:rsidR="00063BE2" w:rsidRPr="009D50BF" w:rsidRDefault="00063BE2" w:rsidP="00A7367F">
            <w:pPr>
              <w:jc w:val="right"/>
              <w:rPr>
                <w:rFonts w:ascii="黑体" w:eastAsia="黑体" w:hAnsi="黑体" w:cs="Times New Roman"/>
                <w:szCs w:val="20"/>
              </w:rPr>
            </w:pPr>
          </w:p>
          <w:p w:rsidR="00482F8D" w:rsidRPr="009D50BF" w:rsidRDefault="00482F8D" w:rsidP="00A7367F">
            <w:pPr>
              <w:jc w:val="right"/>
              <w:rPr>
                <w:rFonts w:ascii="黑体" w:eastAsia="黑体" w:hAnsi="黑体" w:cs="Times New Roman"/>
                <w:szCs w:val="20"/>
              </w:rPr>
            </w:pPr>
          </w:p>
          <w:p w:rsidR="00482F8D" w:rsidRPr="009D50BF" w:rsidRDefault="00482F8D" w:rsidP="00A7367F">
            <w:pPr>
              <w:jc w:val="right"/>
              <w:rPr>
                <w:rFonts w:ascii="黑体" w:eastAsia="黑体" w:hAnsi="黑体" w:cs="Times New Roman"/>
                <w:szCs w:val="20"/>
              </w:rPr>
            </w:pPr>
          </w:p>
          <w:p w:rsidR="00A7367F" w:rsidRPr="009D50BF" w:rsidRDefault="00A7367F" w:rsidP="00A7367F">
            <w:pPr>
              <w:jc w:val="right"/>
              <w:rPr>
                <w:rFonts w:ascii="黑体" w:eastAsia="黑体" w:hAnsi="黑体" w:cs="Times New Roman"/>
                <w:szCs w:val="20"/>
              </w:rPr>
            </w:pPr>
          </w:p>
          <w:p w:rsidR="00A7367F" w:rsidRPr="009D50BF" w:rsidRDefault="00A7367F" w:rsidP="00A7367F">
            <w:pPr>
              <w:ind w:right="720"/>
              <w:jc w:val="center"/>
              <w:rPr>
                <w:rFonts w:ascii="黑体" w:eastAsia="黑体" w:hAnsi="黑体" w:cs="Times New Roman"/>
                <w:szCs w:val="20"/>
              </w:rPr>
            </w:pPr>
            <w:r w:rsidRPr="009D50BF">
              <w:rPr>
                <w:rFonts w:ascii="黑体" w:eastAsia="黑体" w:hAnsi="黑体" w:cs="Times New Roman" w:hint="eastAsia"/>
                <w:szCs w:val="20"/>
              </w:rPr>
              <w:t xml:space="preserve">            </w:t>
            </w:r>
            <w:r w:rsidR="00EF4F6B">
              <w:rPr>
                <w:rFonts w:ascii="黑体" w:eastAsia="黑体" w:hAnsi="黑体" w:cs="Times New Roman" w:hint="eastAsia"/>
                <w:szCs w:val="20"/>
              </w:rPr>
              <w:t xml:space="preserve">                              </w:t>
            </w:r>
            <w:r w:rsidRPr="009D50BF">
              <w:rPr>
                <w:rFonts w:ascii="黑体" w:eastAsia="黑体" w:hAnsi="黑体" w:cs="Times New Roman" w:hint="eastAsia"/>
                <w:szCs w:val="20"/>
              </w:rPr>
              <w:t>资产管理员</w:t>
            </w:r>
            <w:r w:rsidR="009D50BF">
              <w:rPr>
                <w:rFonts w:ascii="黑体" w:eastAsia="黑体" w:hAnsi="黑体" w:cs="Times New Roman" w:hint="eastAsia"/>
                <w:szCs w:val="20"/>
              </w:rPr>
              <w:t>签字</w:t>
            </w:r>
            <w:r w:rsidRPr="009D50BF">
              <w:rPr>
                <w:rFonts w:ascii="黑体" w:eastAsia="黑体" w:hAnsi="黑体" w:cs="Times New Roman" w:hint="eastAsia"/>
                <w:szCs w:val="20"/>
              </w:rPr>
              <w:t>：</w:t>
            </w:r>
          </w:p>
          <w:p w:rsidR="00003415" w:rsidRPr="009D50BF" w:rsidRDefault="00003415" w:rsidP="00875041">
            <w:pPr>
              <w:tabs>
                <w:tab w:val="left" w:pos="5529"/>
                <w:tab w:val="left" w:pos="5812"/>
                <w:tab w:val="left" w:pos="6588"/>
              </w:tabs>
              <w:ind w:right="720"/>
              <w:jc w:val="center"/>
              <w:rPr>
                <w:rFonts w:ascii="黑体" w:eastAsia="黑体" w:hAnsi="黑体" w:cs="Times New Roman"/>
                <w:szCs w:val="20"/>
              </w:rPr>
            </w:pPr>
            <w:r w:rsidRPr="009D50BF">
              <w:rPr>
                <w:rFonts w:ascii="黑体" w:eastAsia="黑体" w:hAnsi="黑体" w:cs="Times New Roman" w:hint="eastAsia"/>
                <w:szCs w:val="20"/>
              </w:rPr>
              <w:t xml:space="preserve">                                            </w:t>
            </w:r>
            <w:r w:rsidR="00875041" w:rsidRPr="009D50BF">
              <w:rPr>
                <w:rFonts w:ascii="黑体" w:eastAsia="黑体" w:hAnsi="黑体" w:cs="Times New Roman" w:hint="eastAsia"/>
                <w:szCs w:val="20"/>
              </w:rPr>
              <w:t xml:space="preserve"> </w:t>
            </w:r>
            <w:r w:rsidRPr="009D50BF">
              <w:rPr>
                <w:rFonts w:ascii="黑体" w:eastAsia="黑体" w:hAnsi="黑体" w:cs="Times New Roman" w:hint="eastAsia"/>
                <w:szCs w:val="20"/>
              </w:rPr>
              <w:t xml:space="preserve">日  </w:t>
            </w:r>
            <w:r w:rsidR="00875041" w:rsidRPr="009D50BF">
              <w:rPr>
                <w:rFonts w:ascii="黑体" w:eastAsia="黑体" w:hAnsi="黑体" w:cs="Times New Roman" w:hint="eastAsia"/>
                <w:szCs w:val="20"/>
              </w:rPr>
              <w:t xml:space="preserve"> </w:t>
            </w:r>
            <w:r w:rsidRPr="009D50BF">
              <w:rPr>
                <w:rFonts w:ascii="黑体" w:eastAsia="黑体" w:hAnsi="黑体" w:cs="Times New Roman" w:hint="eastAsia"/>
                <w:szCs w:val="20"/>
              </w:rPr>
              <w:t>期：</w:t>
            </w:r>
          </w:p>
        </w:tc>
      </w:tr>
      <w:tr w:rsidR="00A7367F" w:rsidRPr="009D50BF" w:rsidTr="00992991">
        <w:trPr>
          <w:trHeight w:val="807"/>
        </w:trPr>
        <w:tc>
          <w:tcPr>
            <w:tcW w:w="8522" w:type="dxa"/>
            <w:gridSpan w:val="5"/>
          </w:tcPr>
          <w:p w:rsidR="00A7367F" w:rsidRPr="009D50BF" w:rsidRDefault="00B72311" w:rsidP="00A7367F">
            <w:pPr>
              <w:jc w:val="left"/>
              <w:rPr>
                <w:rFonts w:ascii="黑体" w:eastAsia="黑体" w:hAnsi="黑体" w:cs="Times New Roman"/>
                <w:szCs w:val="20"/>
              </w:rPr>
            </w:pPr>
            <w:r>
              <w:rPr>
                <w:rFonts w:ascii="黑体" w:eastAsia="黑体" w:hAnsi="黑体" w:cs="Times New Roman" w:hint="eastAsia"/>
                <w:szCs w:val="20"/>
              </w:rPr>
              <w:t>2.</w:t>
            </w:r>
            <w:r w:rsidR="00A7367F" w:rsidRPr="009D50BF">
              <w:rPr>
                <w:rFonts w:ascii="黑体" w:eastAsia="黑体" w:hAnsi="黑体" w:cs="Times New Roman" w:hint="eastAsia"/>
                <w:szCs w:val="20"/>
              </w:rPr>
              <w:t>使用单位意见</w:t>
            </w:r>
            <w:r w:rsidR="00063BE2" w:rsidRPr="009D50BF">
              <w:rPr>
                <w:rFonts w:ascii="黑体" w:eastAsia="黑体" w:hAnsi="黑体" w:cs="Times New Roman" w:hint="eastAsia"/>
                <w:szCs w:val="20"/>
              </w:rPr>
              <w:t>（明确责任人、处理意见）</w:t>
            </w:r>
            <w:r w:rsidR="00A7367F" w:rsidRPr="009D50BF">
              <w:rPr>
                <w:rFonts w:ascii="黑体" w:eastAsia="黑体" w:hAnsi="黑体" w:cs="Times New Roman" w:hint="eastAsia"/>
                <w:szCs w:val="20"/>
              </w:rPr>
              <w:t>：</w:t>
            </w:r>
          </w:p>
          <w:p w:rsidR="00063BE2" w:rsidRPr="009D50BF" w:rsidRDefault="00063BE2" w:rsidP="00A7367F">
            <w:pPr>
              <w:jc w:val="left"/>
              <w:rPr>
                <w:rFonts w:ascii="黑体" w:eastAsia="黑体" w:hAnsi="黑体" w:cs="Times New Roman"/>
                <w:szCs w:val="20"/>
              </w:rPr>
            </w:pPr>
          </w:p>
          <w:p w:rsidR="00063BE2" w:rsidRPr="009D50BF" w:rsidRDefault="00063BE2" w:rsidP="00A7367F">
            <w:pPr>
              <w:jc w:val="left"/>
              <w:rPr>
                <w:rFonts w:ascii="黑体" w:eastAsia="黑体" w:hAnsi="黑体" w:cs="Times New Roman"/>
                <w:szCs w:val="20"/>
              </w:rPr>
            </w:pPr>
          </w:p>
          <w:p w:rsidR="00482F8D" w:rsidRPr="009D50BF" w:rsidRDefault="00482F8D" w:rsidP="00482F8D">
            <w:pPr>
              <w:jc w:val="center"/>
              <w:rPr>
                <w:rFonts w:ascii="黑体" w:eastAsia="黑体" w:hAnsi="黑体" w:cs="Times New Roman"/>
                <w:szCs w:val="20"/>
              </w:rPr>
            </w:pPr>
            <w:r w:rsidRPr="009D50BF">
              <w:rPr>
                <w:rFonts w:ascii="黑体" w:eastAsia="黑体" w:hAnsi="黑体" w:cs="Times New Roman" w:hint="eastAsia"/>
                <w:szCs w:val="20"/>
              </w:rPr>
              <w:t xml:space="preserve">                                       </w:t>
            </w:r>
          </w:p>
          <w:p w:rsidR="00482F8D" w:rsidRPr="009D50BF" w:rsidRDefault="00482F8D" w:rsidP="00482F8D">
            <w:pPr>
              <w:jc w:val="center"/>
              <w:rPr>
                <w:rFonts w:ascii="黑体" w:eastAsia="黑体" w:hAnsi="黑体" w:cs="Times New Roman"/>
                <w:szCs w:val="20"/>
              </w:rPr>
            </w:pPr>
            <w:r w:rsidRPr="009D50BF">
              <w:rPr>
                <w:rFonts w:ascii="黑体" w:eastAsia="黑体" w:hAnsi="黑体" w:cs="Times New Roman" w:hint="eastAsia"/>
                <w:szCs w:val="20"/>
              </w:rPr>
              <w:t xml:space="preserve">                                       </w:t>
            </w:r>
          </w:p>
          <w:p w:rsidR="00A7367F" w:rsidRPr="009D50BF" w:rsidRDefault="00482F8D" w:rsidP="00482F8D">
            <w:pPr>
              <w:jc w:val="center"/>
              <w:rPr>
                <w:rFonts w:ascii="黑体" w:eastAsia="黑体" w:hAnsi="黑体" w:cs="Times New Roman"/>
                <w:szCs w:val="20"/>
              </w:rPr>
            </w:pPr>
            <w:r w:rsidRPr="009D50BF">
              <w:rPr>
                <w:rFonts w:ascii="黑体" w:eastAsia="黑体" w:hAnsi="黑体" w:cs="Times New Roman" w:hint="eastAsia"/>
                <w:szCs w:val="20"/>
              </w:rPr>
              <w:t xml:space="preserve">       </w:t>
            </w:r>
            <w:r w:rsidR="00A05C50">
              <w:rPr>
                <w:rFonts w:ascii="黑体" w:eastAsia="黑体" w:hAnsi="黑体" w:cs="Times New Roman" w:hint="eastAsia"/>
                <w:szCs w:val="20"/>
              </w:rPr>
              <w:t xml:space="preserve">                         </w:t>
            </w:r>
            <w:r w:rsidRPr="009D50BF">
              <w:rPr>
                <w:rFonts w:ascii="黑体" w:eastAsia="黑体" w:hAnsi="黑体" w:cs="Times New Roman" w:hint="eastAsia"/>
                <w:szCs w:val="20"/>
              </w:rPr>
              <w:t xml:space="preserve"> </w:t>
            </w:r>
            <w:r w:rsidR="00A7367F" w:rsidRPr="009D50BF">
              <w:rPr>
                <w:rFonts w:ascii="黑体" w:eastAsia="黑体" w:hAnsi="黑体" w:cs="Times New Roman" w:hint="eastAsia"/>
                <w:szCs w:val="20"/>
              </w:rPr>
              <w:t>负责人（</w:t>
            </w:r>
            <w:r w:rsidRPr="009D50BF">
              <w:rPr>
                <w:rFonts w:ascii="黑体" w:eastAsia="黑体" w:hAnsi="黑体" w:cs="Times New Roman" w:hint="eastAsia"/>
                <w:szCs w:val="20"/>
              </w:rPr>
              <w:t>签章</w:t>
            </w:r>
            <w:r w:rsidR="00A7367F" w:rsidRPr="009D50BF">
              <w:rPr>
                <w:rFonts w:ascii="黑体" w:eastAsia="黑体" w:hAnsi="黑体" w:cs="Times New Roman" w:hint="eastAsia"/>
                <w:szCs w:val="20"/>
              </w:rPr>
              <w:t>）</w:t>
            </w:r>
            <w:r w:rsidRPr="009D50BF">
              <w:rPr>
                <w:rFonts w:ascii="黑体" w:eastAsia="黑体" w:hAnsi="黑体" w:cs="Times New Roman" w:hint="eastAsia"/>
                <w:szCs w:val="20"/>
              </w:rPr>
              <w:t>：</w:t>
            </w:r>
          </w:p>
          <w:p w:rsidR="00003415" w:rsidRPr="009D50BF" w:rsidRDefault="00003415" w:rsidP="00482F8D">
            <w:pPr>
              <w:jc w:val="center"/>
              <w:rPr>
                <w:rFonts w:ascii="黑体" w:eastAsia="黑体" w:hAnsi="黑体" w:cs="Times New Roman"/>
                <w:szCs w:val="20"/>
              </w:rPr>
            </w:pPr>
            <w:r w:rsidRPr="009D50BF">
              <w:rPr>
                <w:rFonts w:ascii="黑体" w:eastAsia="黑体" w:hAnsi="黑体" w:cs="Times New Roman" w:hint="eastAsia"/>
                <w:szCs w:val="20"/>
              </w:rPr>
              <w:t xml:space="preserve">                                       日  期：</w:t>
            </w:r>
          </w:p>
        </w:tc>
      </w:tr>
      <w:tr w:rsidR="00E2343C" w:rsidRPr="009D50BF" w:rsidTr="00992991">
        <w:trPr>
          <w:trHeight w:val="807"/>
        </w:trPr>
        <w:tc>
          <w:tcPr>
            <w:tcW w:w="8522" w:type="dxa"/>
            <w:gridSpan w:val="5"/>
          </w:tcPr>
          <w:p w:rsidR="00E2343C" w:rsidRDefault="00B72311" w:rsidP="00E2343C">
            <w:pPr>
              <w:jc w:val="left"/>
              <w:rPr>
                <w:rFonts w:ascii="黑体" w:eastAsia="黑体" w:hAnsi="黑体" w:cs="Times New Roman"/>
                <w:szCs w:val="20"/>
              </w:rPr>
            </w:pPr>
            <w:r>
              <w:rPr>
                <w:rFonts w:ascii="黑体" w:eastAsia="黑体" w:hAnsi="黑体" w:cs="Times New Roman" w:hint="eastAsia"/>
                <w:szCs w:val="20"/>
              </w:rPr>
              <w:t>3.</w:t>
            </w:r>
            <w:r w:rsidR="00354F8A">
              <w:rPr>
                <w:rFonts w:ascii="黑体" w:eastAsia="黑体" w:hAnsi="黑体" w:cs="Times New Roman"/>
                <w:szCs w:val="20"/>
              </w:rPr>
              <w:t>（</w:t>
            </w:r>
            <w:r w:rsidR="00354F8A" w:rsidRPr="00E2343C">
              <w:rPr>
                <w:rFonts w:ascii="黑体" w:eastAsia="黑体" w:hAnsi="黑体" w:cs="Times New Roman"/>
                <w:szCs w:val="20"/>
              </w:rPr>
              <w:t>大型仪器设备损坏</w:t>
            </w:r>
            <w:r w:rsidR="00B61A9E">
              <w:rPr>
                <w:rFonts w:ascii="黑体" w:eastAsia="黑体" w:hAnsi="黑体" w:cs="Times New Roman"/>
                <w:szCs w:val="20"/>
              </w:rPr>
              <w:t>、</w:t>
            </w:r>
            <w:r w:rsidR="00354F8A" w:rsidRPr="00E2343C">
              <w:rPr>
                <w:rFonts w:ascii="黑体" w:eastAsia="黑体" w:hAnsi="黑体" w:cs="Times New Roman"/>
                <w:szCs w:val="20"/>
              </w:rPr>
              <w:t>丢失</w:t>
            </w:r>
            <w:r w:rsidR="00354F8A">
              <w:rPr>
                <w:rFonts w:ascii="黑体" w:eastAsia="黑体" w:hAnsi="黑体" w:cs="Times New Roman"/>
                <w:szCs w:val="20"/>
              </w:rPr>
              <w:t>）</w:t>
            </w:r>
            <w:r w:rsidR="00EF4F6B">
              <w:rPr>
                <w:rFonts w:ascii="黑体" w:eastAsia="黑体" w:hAnsi="黑体" w:cs="Times New Roman" w:hint="eastAsia"/>
                <w:szCs w:val="20"/>
              </w:rPr>
              <w:t>调查</w:t>
            </w:r>
            <w:r w:rsidR="00E2343C" w:rsidRPr="00E2343C">
              <w:rPr>
                <w:rFonts w:ascii="黑体" w:eastAsia="黑体" w:hAnsi="黑体" w:cs="Times New Roman"/>
                <w:szCs w:val="20"/>
              </w:rPr>
              <w:t>组意见：</w:t>
            </w:r>
          </w:p>
          <w:p w:rsidR="00E2343C" w:rsidRDefault="00E2343C" w:rsidP="00E2343C">
            <w:pPr>
              <w:jc w:val="left"/>
              <w:rPr>
                <w:rFonts w:ascii="黑体" w:eastAsia="黑体" w:hAnsi="黑体" w:cs="Times New Roman"/>
                <w:szCs w:val="20"/>
              </w:rPr>
            </w:pPr>
          </w:p>
          <w:p w:rsidR="00E2343C" w:rsidRDefault="00E2343C" w:rsidP="00E2343C">
            <w:pPr>
              <w:jc w:val="left"/>
              <w:rPr>
                <w:rFonts w:ascii="黑体" w:eastAsia="黑体" w:hAnsi="黑体" w:cs="Times New Roman"/>
                <w:szCs w:val="20"/>
              </w:rPr>
            </w:pPr>
          </w:p>
          <w:p w:rsidR="00E2343C" w:rsidRPr="00E2343C" w:rsidRDefault="00E2343C" w:rsidP="00E2343C">
            <w:pPr>
              <w:jc w:val="left"/>
              <w:rPr>
                <w:rFonts w:ascii="黑体" w:eastAsia="黑体" w:hAnsi="黑体" w:cs="Times New Roman"/>
                <w:szCs w:val="20"/>
              </w:rPr>
            </w:pPr>
          </w:p>
          <w:p w:rsidR="00354F8A" w:rsidRDefault="00E2343C" w:rsidP="00E2343C">
            <w:pPr>
              <w:ind w:right="840"/>
              <w:rPr>
                <w:rFonts w:ascii="黑体" w:eastAsia="黑体" w:hAnsi="黑体" w:cs="Times New Roman"/>
                <w:szCs w:val="20"/>
              </w:rPr>
            </w:pPr>
            <w:r w:rsidRPr="00E2343C">
              <w:rPr>
                <w:rFonts w:ascii="黑体" w:eastAsia="黑体" w:hAnsi="黑体" w:cs="Times New Roman"/>
                <w:szCs w:val="20"/>
              </w:rPr>
              <w:t>成员：</w:t>
            </w:r>
            <w:r>
              <w:rPr>
                <w:rFonts w:ascii="黑体" w:eastAsia="黑体" w:hAnsi="黑体" w:cs="Times New Roman"/>
                <w:szCs w:val="20"/>
              </w:rPr>
              <w:t xml:space="preserve">                 </w:t>
            </w:r>
            <w:r>
              <w:rPr>
                <w:rFonts w:ascii="黑体" w:eastAsia="黑体" w:hAnsi="黑体" w:cs="Times New Roman" w:hint="eastAsia"/>
                <w:szCs w:val="20"/>
              </w:rPr>
              <w:t xml:space="preserve">                     </w:t>
            </w:r>
            <w:r>
              <w:rPr>
                <w:rFonts w:ascii="黑体" w:eastAsia="黑体" w:hAnsi="黑体" w:cs="Times New Roman"/>
                <w:szCs w:val="20"/>
              </w:rPr>
              <w:t xml:space="preserve"> </w:t>
            </w:r>
          </w:p>
          <w:p w:rsidR="00E2343C" w:rsidRPr="00E2343C" w:rsidRDefault="00E2343C" w:rsidP="00354F8A">
            <w:pPr>
              <w:ind w:right="840" w:firstLineChars="2500" w:firstLine="5250"/>
              <w:rPr>
                <w:rFonts w:ascii="黑体" w:eastAsia="黑体" w:hAnsi="黑体" w:cs="Times New Roman"/>
                <w:szCs w:val="20"/>
              </w:rPr>
            </w:pPr>
            <w:r w:rsidRPr="00E2343C">
              <w:rPr>
                <w:rFonts w:ascii="黑体" w:eastAsia="黑体" w:hAnsi="黑体" w:cs="Times New Roman"/>
                <w:szCs w:val="20"/>
              </w:rPr>
              <w:t>组长（签名）：</w:t>
            </w:r>
          </w:p>
          <w:p w:rsidR="00E2343C" w:rsidRPr="00E2343C" w:rsidRDefault="00E2343C" w:rsidP="00E2343C">
            <w:pPr>
              <w:ind w:right="1700"/>
              <w:jc w:val="right"/>
              <w:rPr>
                <w:rFonts w:ascii="宋体" w:eastAsia="宋体" w:hAnsi="宋体" w:cs="宋体"/>
                <w:sz w:val="24"/>
                <w:szCs w:val="24"/>
              </w:rPr>
            </w:pPr>
            <w:r w:rsidRPr="00E2343C">
              <w:rPr>
                <w:rFonts w:ascii="黑体" w:eastAsia="黑体" w:hAnsi="黑体" w:cs="Times New Roman"/>
                <w:szCs w:val="20"/>
              </w:rPr>
              <w:t>日</w:t>
            </w:r>
            <w:r>
              <w:rPr>
                <w:rFonts w:ascii="黑体" w:eastAsia="黑体" w:hAnsi="黑体" w:cs="Times New Roman" w:hint="eastAsia"/>
                <w:szCs w:val="20"/>
              </w:rPr>
              <w:t xml:space="preserve">  </w:t>
            </w:r>
            <w:r w:rsidRPr="00E2343C">
              <w:rPr>
                <w:rFonts w:ascii="黑体" w:eastAsia="黑体" w:hAnsi="黑体" w:cs="Times New Roman"/>
                <w:szCs w:val="20"/>
              </w:rPr>
              <w:t>期：</w:t>
            </w:r>
          </w:p>
        </w:tc>
      </w:tr>
      <w:tr w:rsidR="00A7367F" w:rsidRPr="009D50BF" w:rsidTr="00077E30">
        <w:trPr>
          <w:trHeight w:val="807"/>
        </w:trPr>
        <w:tc>
          <w:tcPr>
            <w:tcW w:w="8522" w:type="dxa"/>
            <w:gridSpan w:val="5"/>
          </w:tcPr>
          <w:p w:rsidR="00A7367F" w:rsidRPr="009D50BF" w:rsidRDefault="00B72311" w:rsidP="00A7367F">
            <w:pPr>
              <w:jc w:val="left"/>
              <w:rPr>
                <w:rFonts w:ascii="黑体" w:eastAsia="黑体" w:hAnsi="黑体" w:cs="Times New Roman"/>
                <w:szCs w:val="20"/>
              </w:rPr>
            </w:pPr>
            <w:r>
              <w:rPr>
                <w:rFonts w:ascii="黑体" w:eastAsia="黑体" w:hAnsi="黑体" w:cs="Times New Roman" w:hint="eastAsia"/>
                <w:szCs w:val="20"/>
              </w:rPr>
              <w:t>4.</w:t>
            </w:r>
            <w:r w:rsidR="00A7367F" w:rsidRPr="009D50BF">
              <w:rPr>
                <w:rFonts w:ascii="黑体" w:eastAsia="黑体" w:hAnsi="黑体" w:cs="Times New Roman" w:hint="eastAsia"/>
                <w:szCs w:val="20"/>
              </w:rPr>
              <w:t>国有资产与实验室管理处意见：</w:t>
            </w:r>
          </w:p>
          <w:p w:rsidR="00482F8D" w:rsidRPr="009D50BF" w:rsidRDefault="00482F8D" w:rsidP="00A7367F">
            <w:pPr>
              <w:jc w:val="left"/>
              <w:rPr>
                <w:rFonts w:ascii="黑体" w:eastAsia="黑体" w:hAnsi="黑体" w:cs="Times New Roman"/>
                <w:szCs w:val="20"/>
              </w:rPr>
            </w:pPr>
          </w:p>
          <w:p w:rsidR="00063BE2" w:rsidRPr="009D50BF" w:rsidRDefault="00063BE2" w:rsidP="00A7367F">
            <w:pPr>
              <w:jc w:val="left"/>
              <w:rPr>
                <w:rFonts w:ascii="黑体" w:eastAsia="黑体" w:hAnsi="黑体" w:cs="Times New Roman"/>
                <w:szCs w:val="20"/>
              </w:rPr>
            </w:pPr>
          </w:p>
          <w:p w:rsidR="006C1F6A" w:rsidRPr="009D50BF" w:rsidRDefault="006C1F6A" w:rsidP="00A7367F">
            <w:pPr>
              <w:jc w:val="left"/>
              <w:rPr>
                <w:rFonts w:ascii="黑体" w:eastAsia="黑体" w:hAnsi="黑体" w:cs="Times New Roman"/>
                <w:szCs w:val="20"/>
              </w:rPr>
            </w:pPr>
          </w:p>
          <w:p w:rsidR="00482F8D" w:rsidRPr="009D50BF" w:rsidRDefault="00482F8D" w:rsidP="00482F8D">
            <w:pPr>
              <w:jc w:val="center"/>
              <w:rPr>
                <w:rFonts w:ascii="黑体" w:eastAsia="黑体" w:hAnsi="黑体" w:cs="Times New Roman"/>
                <w:szCs w:val="20"/>
              </w:rPr>
            </w:pPr>
            <w:r w:rsidRPr="009D50BF">
              <w:rPr>
                <w:rFonts w:ascii="黑体" w:eastAsia="黑体" w:hAnsi="黑体" w:cs="Times New Roman" w:hint="eastAsia"/>
                <w:szCs w:val="20"/>
              </w:rPr>
              <w:t xml:space="preserve">        </w:t>
            </w:r>
            <w:r w:rsidR="00A05C50">
              <w:rPr>
                <w:rFonts w:ascii="黑体" w:eastAsia="黑体" w:hAnsi="黑体" w:cs="Times New Roman" w:hint="eastAsia"/>
                <w:szCs w:val="20"/>
              </w:rPr>
              <w:t xml:space="preserve">                           </w:t>
            </w:r>
            <w:r w:rsidRPr="009D50BF">
              <w:rPr>
                <w:rFonts w:ascii="黑体" w:eastAsia="黑体" w:hAnsi="黑体" w:cs="Times New Roman" w:hint="eastAsia"/>
                <w:szCs w:val="20"/>
              </w:rPr>
              <w:t>负责人（签章）：</w:t>
            </w:r>
          </w:p>
          <w:p w:rsidR="00003415" w:rsidRPr="009D50BF" w:rsidRDefault="00003415" w:rsidP="00003415">
            <w:pPr>
              <w:tabs>
                <w:tab w:val="left" w:pos="5812"/>
              </w:tabs>
              <w:jc w:val="center"/>
              <w:rPr>
                <w:rFonts w:ascii="黑体" w:eastAsia="黑体" w:hAnsi="黑体" w:cs="Times New Roman"/>
                <w:szCs w:val="20"/>
              </w:rPr>
            </w:pPr>
            <w:r w:rsidRPr="009D50BF">
              <w:rPr>
                <w:rFonts w:ascii="黑体" w:eastAsia="黑体" w:hAnsi="黑体" w:cs="Times New Roman" w:hint="eastAsia"/>
                <w:szCs w:val="20"/>
              </w:rPr>
              <w:t xml:space="preserve">                                       日  期：</w:t>
            </w:r>
          </w:p>
        </w:tc>
      </w:tr>
    </w:tbl>
    <w:p w:rsidR="006C1F6A" w:rsidRPr="009D50BF" w:rsidRDefault="00063BE2" w:rsidP="006C1F6A">
      <w:pPr>
        <w:pStyle w:val="a4"/>
        <w:shd w:val="clear" w:color="auto" w:fill="FFFFFF"/>
        <w:spacing w:before="0" w:beforeAutospacing="0" w:after="0" w:afterAutospacing="0"/>
        <w:rPr>
          <w:rFonts w:ascii="黑体" w:eastAsia="黑体" w:hAnsi="黑体" w:cs="Times New Roman"/>
          <w:kern w:val="2"/>
          <w:sz w:val="21"/>
          <w:szCs w:val="20"/>
        </w:rPr>
      </w:pPr>
      <w:r w:rsidRPr="009D50BF">
        <w:rPr>
          <w:rFonts w:ascii="黑体" w:eastAsia="黑体" w:hAnsi="黑体" w:cs="Times New Roman" w:hint="eastAsia"/>
          <w:kern w:val="2"/>
          <w:sz w:val="21"/>
          <w:szCs w:val="20"/>
        </w:rPr>
        <w:t>注：1</w:t>
      </w:r>
      <w:r w:rsidR="00B72311">
        <w:rPr>
          <w:rFonts w:ascii="黑体" w:eastAsia="黑体" w:hAnsi="黑体" w:cs="Times New Roman" w:hint="eastAsia"/>
          <w:kern w:val="2"/>
          <w:sz w:val="21"/>
          <w:szCs w:val="20"/>
        </w:rPr>
        <w:t>.</w:t>
      </w:r>
      <w:r w:rsidRPr="009D50BF">
        <w:rPr>
          <w:rFonts w:ascii="黑体" w:eastAsia="黑体" w:hAnsi="黑体" w:cs="Times New Roman" w:hint="eastAsia"/>
          <w:kern w:val="2"/>
          <w:sz w:val="21"/>
          <w:szCs w:val="20"/>
        </w:rPr>
        <w:t>本表一式两份，使用单位和国有资产与实验室管理处各一份</w:t>
      </w:r>
      <w:r w:rsidR="00B72311">
        <w:rPr>
          <w:rFonts w:ascii="黑体" w:eastAsia="黑体" w:hAnsi="黑体" w:cs="Times New Roman" w:hint="eastAsia"/>
          <w:kern w:val="2"/>
          <w:sz w:val="21"/>
          <w:szCs w:val="20"/>
        </w:rPr>
        <w:t>。</w:t>
      </w:r>
    </w:p>
    <w:p w:rsidR="00A05C50" w:rsidRDefault="00063BE2" w:rsidP="006C1F6A">
      <w:pPr>
        <w:pStyle w:val="a4"/>
        <w:shd w:val="clear" w:color="auto" w:fill="FFFFFF"/>
        <w:spacing w:before="0" w:beforeAutospacing="0" w:after="0" w:afterAutospacing="0"/>
        <w:ind w:firstLineChars="200" w:firstLine="420"/>
        <w:rPr>
          <w:rFonts w:ascii="黑体" w:eastAsia="黑体" w:hAnsi="黑体" w:cs="Times New Roman"/>
          <w:kern w:val="2"/>
          <w:sz w:val="21"/>
          <w:szCs w:val="20"/>
        </w:rPr>
      </w:pPr>
      <w:r w:rsidRPr="009D50BF">
        <w:rPr>
          <w:rFonts w:ascii="黑体" w:eastAsia="黑体" w:hAnsi="黑体" w:cs="Times New Roman" w:hint="eastAsia"/>
          <w:kern w:val="2"/>
          <w:sz w:val="21"/>
          <w:szCs w:val="20"/>
        </w:rPr>
        <w:t>2</w:t>
      </w:r>
      <w:r w:rsidR="00B72311">
        <w:rPr>
          <w:rFonts w:ascii="黑体" w:eastAsia="黑体" w:hAnsi="黑体" w:cs="Times New Roman" w:hint="eastAsia"/>
          <w:kern w:val="2"/>
          <w:sz w:val="21"/>
          <w:szCs w:val="20"/>
        </w:rPr>
        <w:t>.</w:t>
      </w:r>
      <w:r w:rsidRPr="009D50BF">
        <w:rPr>
          <w:rFonts w:ascii="黑体" w:eastAsia="黑体" w:hAnsi="黑体" w:cs="Times New Roman" w:hint="eastAsia"/>
          <w:kern w:val="2"/>
          <w:sz w:val="21"/>
          <w:szCs w:val="20"/>
        </w:rPr>
        <w:t>国有资产与实验室管理处凭本表</w:t>
      </w:r>
      <w:r w:rsidR="0012725B">
        <w:rPr>
          <w:rFonts w:ascii="黑体" w:eastAsia="黑体" w:hAnsi="黑体" w:cs="Times New Roman" w:hint="eastAsia"/>
          <w:kern w:val="2"/>
          <w:sz w:val="21"/>
          <w:szCs w:val="20"/>
        </w:rPr>
        <w:t>和赔偿通知单</w:t>
      </w:r>
      <w:r w:rsidRPr="009D50BF">
        <w:rPr>
          <w:rFonts w:ascii="黑体" w:eastAsia="黑体" w:hAnsi="黑体" w:cs="Times New Roman" w:hint="eastAsia"/>
          <w:kern w:val="2"/>
          <w:sz w:val="21"/>
          <w:szCs w:val="20"/>
        </w:rPr>
        <w:t>作固定资产账务处理</w:t>
      </w:r>
      <w:r w:rsidR="003B55DF" w:rsidRPr="009D50BF">
        <w:rPr>
          <w:rFonts w:ascii="黑体" w:eastAsia="黑体" w:hAnsi="黑体" w:cs="Times New Roman" w:hint="eastAsia"/>
          <w:kern w:val="2"/>
          <w:sz w:val="21"/>
          <w:szCs w:val="20"/>
        </w:rPr>
        <w:t>。</w:t>
      </w:r>
    </w:p>
    <w:p w:rsidR="00354F8A" w:rsidRDefault="00A05C50" w:rsidP="00B72311">
      <w:pPr>
        <w:pStyle w:val="a4"/>
        <w:shd w:val="clear" w:color="auto" w:fill="FFFFFF"/>
        <w:spacing w:before="0" w:beforeAutospacing="0" w:after="0" w:afterAutospacing="0"/>
        <w:ind w:firstLineChars="200" w:firstLine="420"/>
        <w:rPr>
          <w:rFonts w:ascii="黑体" w:eastAsia="黑体" w:hAnsi="黑体" w:cs="Times New Roman"/>
          <w:kern w:val="2"/>
          <w:sz w:val="21"/>
          <w:szCs w:val="20"/>
        </w:rPr>
      </w:pPr>
      <w:r>
        <w:rPr>
          <w:rFonts w:ascii="黑体" w:eastAsia="黑体" w:hAnsi="黑体" w:cs="Times New Roman" w:hint="eastAsia"/>
          <w:kern w:val="2"/>
          <w:sz w:val="21"/>
          <w:szCs w:val="20"/>
        </w:rPr>
        <w:t>3</w:t>
      </w:r>
      <w:r w:rsidR="00B72311">
        <w:rPr>
          <w:rFonts w:ascii="黑体" w:eastAsia="黑体" w:hAnsi="黑体" w:cs="Times New Roman" w:hint="eastAsia"/>
          <w:kern w:val="2"/>
          <w:sz w:val="21"/>
          <w:szCs w:val="20"/>
        </w:rPr>
        <w:t>.</w:t>
      </w:r>
      <w:r w:rsidRPr="00A05C50">
        <w:rPr>
          <w:rFonts w:ascii="黑体" w:eastAsia="黑体" w:hAnsi="黑体" w:cs="Times New Roman" w:hint="eastAsia"/>
          <w:kern w:val="2"/>
          <w:sz w:val="21"/>
          <w:szCs w:val="20"/>
        </w:rPr>
        <w:t>损坏、丢失资产较多需附清单</w:t>
      </w:r>
      <w:r w:rsidR="00B72311">
        <w:rPr>
          <w:rFonts w:ascii="黑体" w:eastAsia="黑体" w:hAnsi="黑体" w:cs="Times New Roman" w:hint="eastAsia"/>
          <w:kern w:val="2"/>
          <w:sz w:val="21"/>
          <w:szCs w:val="20"/>
        </w:rPr>
        <w:t>。</w:t>
      </w:r>
    </w:p>
    <w:p w:rsidR="00BB12A8" w:rsidRPr="00BB12A8" w:rsidRDefault="00BB12A8" w:rsidP="00BB12A8">
      <w:pPr>
        <w:widowControl/>
        <w:jc w:val="center"/>
        <w:rPr>
          <w:rFonts w:ascii="宋体" w:eastAsia="宋体" w:hAnsi="宋体" w:cs="宋体"/>
          <w:kern w:val="0"/>
          <w:sz w:val="24"/>
          <w:szCs w:val="24"/>
        </w:rPr>
      </w:pPr>
      <w:r w:rsidRPr="00BB12A8">
        <w:rPr>
          <w:rFonts w:ascii="黑体" w:eastAsia="黑体" w:hAnsi="黑体" w:cs="宋体"/>
          <w:color w:val="000000"/>
          <w:kern w:val="0"/>
          <w:sz w:val="32"/>
          <w:szCs w:val="32"/>
        </w:rPr>
        <w:lastRenderedPageBreak/>
        <w:t>赔偿计价原则及标准</w:t>
      </w:r>
    </w:p>
    <w:p w:rsidR="00BB12A8" w:rsidRDefault="00BB12A8" w:rsidP="00BB12A8">
      <w:pPr>
        <w:widowControl/>
        <w:jc w:val="center"/>
        <w:rPr>
          <w:rFonts w:ascii="黑体" w:eastAsia="黑体" w:hAnsi="黑体" w:cs="Times New Roman"/>
          <w:szCs w:val="20"/>
        </w:rPr>
      </w:pPr>
    </w:p>
    <w:p w:rsidR="00BB12A8" w:rsidRPr="00BB12A8" w:rsidRDefault="00B61A9E" w:rsidP="00E2343C">
      <w:pPr>
        <w:widowControl/>
        <w:spacing w:line="380" w:lineRule="exact"/>
        <w:ind w:firstLineChars="200" w:firstLine="420"/>
        <w:rPr>
          <w:rFonts w:ascii="黑体" w:eastAsia="黑体" w:hAnsi="黑体" w:cs="Times New Roman"/>
          <w:szCs w:val="20"/>
        </w:rPr>
      </w:pPr>
      <w:r>
        <w:rPr>
          <w:rFonts w:ascii="黑体" w:eastAsia="黑体" w:hAnsi="黑体" w:cs="Times New Roman" w:hint="eastAsia"/>
          <w:szCs w:val="20"/>
        </w:rPr>
        <w:t>一、</w:t>
      </w:r>
      <w:r w:rsidR="00E2343C">
        <w:rPr>
          <w:rFonts w:ascii="黑体" w:eastAsia="黑体" w:hAnsi="黑体" w:cs="Times New Roman" w:hint="eastAsia"/>
          <w:szCs w:val="20"/>
        </w:rPr>
        <w:t xml:space="preserve"> </w:t>
      </w:r>
      <w:r w:rsidR="00BB12A8" w:rsidRPr="00BB12A8">
        <w:rPr>
          <w:rFonts w:ascii="黑体" w:eastAsia="黑体" w:hAnsi="黑体" w:cs="Times New Roman"/>
          <w:szCs w:val="20"/>
        </w:rPr>
        <w:t>资产损坏或丢失赔偿的计价原则</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（一）损坏或丢失资产零配件的，只赔偿零配件的损失价值；</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（二）资产局部损坏且可以修复的，只赔偿修理费用；</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（三）资产损坏后质量明显下降，但尚能降级降档使用的，应按其质量变化程度酌情赔偿降级降档的损失价值；</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（四）因损坏导致不能使用或丢失的在用资产，按</w:t>
      </w:r>
      <w:r w:rsidR="000069A8">
        <w:rPr>
          <w:rFonts w:ascii="黑体" w:eastAsia="黑体" w:hAnsi="黑体" w:cs="Times New Roman"/>
          <w:kern w:val="2"/>
          <w:sz w:val="21"/>
          <w:szCs w:val="20"/>
        </w:rPr>
        <w:t>如下</w:t>
      </w:r>
      <w:r w:rsidRPr="00BB12A8">
        <w:rPr>
          <w:rFonts w:ascii="黑体" w:eastAsia="黑体" w:hAnsi="黑体" w:cs="Times New Roman"/>
          <w:kern w:val="2"/>
          <w:sz w:val="21"/>
          <w:szCs w:val="20"/>
        </w:rPr>
        <w:t>办法计算赔偿金并予以赔偿。</w:t>
      </w:r>
    </w:p>
    <w:p w:rsidR="00BB12A8" w:rsidRDefault="00B61A9E"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Pr>
          <w:rFonts w:ascii="黑体" w:eastAsia="黑体" w:hAnsi="黑体" w:cs="Times New Roman" w:hint="eastAsia"/>
          <w:kern w:val="2"/>
          <w:sz w:val="21"/>
          <w:szCs w:val="20"/>
        </w:rPr>
        <w:t>二、</w:t>
      </w:r>
      <w:r w:rsidR="00E2343C">
        <w:rPr>
          <w:rFonts w:ascii="黑体" w:eastAsia="黑体" w:hAnsi="黑体" w:cs="Times New Roman" w:hint="eastAsia"/>
          <w:kern w:val="2"/>
          <w:sz w:val="21"/>
          <w:szCs w:val="20"/>
        </w:rPr>
        <w:t xml:space="preserve"> </w:t>
      </w:r>
      <w:r w:rsidR="00BB12A8" w:rsidRPr="00BB12A8">
        <w:rPr>
          <w:rFonts w:ascii="黑体" w:eastAsia="黑体" w:hAnsi="黑体" w:cs="Times New Roman"/>
          <w:kern w:val="2"/>
          <w:sz w:val="21"/>
          <w:szCs w:val="20"/>
        </w:rPr>
        <w:t>赔偿形式和标准</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（一）资产损坏或丢失的赔偿形式用同等及以上性能指标的资产或现金进行赔偿。</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（二）现金赔偿的计算标准</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1.资产使用未超过折旧年限</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赔偿金=资产原值×（ 1-已使用年限／折旧年限）×加权系数。</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（1）折旧年限计算参照《财会</w:t>
      </w:r>
      <w:r w:rsidR="000069A8">
        <w:rPr>
          <w:rFonts w:ascii="黑体" w:eastAsia="黑体" w:hAnsi="黑体" w:cs="Times New Roman"/>
          <w:kern w:val="2"/>
          <w:sz w:val="21"/>
          <w:szCs w:val="20"/>
        </w:rPr>
        <w:t>【</w:t>
      </w:r>
      <w:r w:rsidR="000069A8" w:rsidRPr="00BB12A8">
        <w:rPr>
          <w:rFonts w:ascii="黑体" w:eastAsia="黑体" w:hAnsi="黑体" w:cs="Times New Roman"/>
          <w:kern w:val="2"/>
          <w:sz w:val="21"/>
          <w:szCs w:val="20"/>
        </w:rPr>
        <w:t>2017</w:t>
      </w:r>
      <w:r w:rsidR="000069A8">
        <w:rPr>
          <w:rFonts w:ascii="黑体" w:eastAsia="黑体" w:hAnsi="黑体" w:cs="Times New Roman"/>
          <w:kern w:val="2"/>
          <w:sz w:val="21"/>
          <w:szCs w:val="20"/>
        </w:rPr>
        <w:t>】</w:t>
      </w:r>
      <w:bookmarkStart w:id="0" w:name="_GoBack"/>
      <w:bookmarkEnd w:id="0"/>
      <w:r w:rsidR="00CA2AEC">
        <w:rPr>
          <w:rFonts w:ascii="黑体" w:eastAsia="黑体" w:hAnsi="黑体" w:cs="Times New Roman"/>
          <w:kern w:val="2"/>
          <w:sz w:val="21"/>
          <w:szCs w:val="20"/>
        </w:rPr>
        <w:t>4</w:t>
      </w:r>
      <w:r w:rsidRPr="00BB12A8">
        <w:rPr>
          <w:rFonts w:ascii="黑体" w:eastAsia="黑体" w:hAnsi="黑体" w:cs="Times New Roman"/>
          <w:kern w:val="2"/>
          <w:sz w:val="21"/>
          <w:szCs w:val="20"/>
        </w:rPr>
        <w:t>号政府会计准则第</w:t>
      </w:r>
      <w:r w:rsidR="00CA2AEC">
        <w:rPr>
          <w:rFonts w:ascii="黑体" w:eastAsia="黑体" w:hAnsi="黑体" w:cs="Times New Roman"/>
          <w:kern w:val="2"/>
          <w:sz w:val="21"/>
          <w:szCs w:val="20"/>
        </w:rPr>
        <w:t>3</w:t>
      </w:r>
      <w:r w:rsidRPr="00BB12A8">
        <w:rPr>
          <w:rFonts w:ascii="黑体" w:eastAsia="黑体" w:hAnsi="黑体" w:cs="Times New Roman"/>
          <w:kern w:val="2"/>
          <w:sz w:val="21"/>
          <w:szCs w:val="20"/>
        </w:rPr>
        <w:t>号—固定资产》规定的折旧年限计算。</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（2）加权系数</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①赔偿金加权系数通常为 1.0</w:t>
      </w:r>
      <w:r w:rsidR="00E2343C">
        <w:rPr>
          <w:rFonts w:ascii="黑体" w:eastAsia="黑体" w:hAnsi="黑体" w:cs="Times New Roman"/>
          <w:kern w:val="2"/>
          <w:sz w:val="21"/>
          <w:szCs w:val="20"/>
        </w:rPr>
        <w:t>。</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②电脑、摄像机、照相机、电视机、打印机、传真机、空调等具有家用性的设备，赔偿金加权系数不得低于 0.9，或赔偿不低于同等性能指标的设备(以办理验收建账手续为准)</w:t>
      </w:r>
      <w:r w:rsidR="00E2343C">
        <w:rPr>
          <w:rFonts w:ascii="黑体" w:eastAsia="黑体" w:hAnsi="黑体" w:cs="Times New Roman"/>
          <w:kern w:val="2"/>
          <w:sz w:val="21"/>
          <w:szCs w:val="20"/>
        </w:rPr>
        <w:t>。</w:t>
      </w:r>
    </w:p>
    <w:p w:rsidR="00BB12A8"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③大型仪器设备发生损坏或丢失的，可根据仪器设备新旧程度、损失原因、责任人认识态度、责任大小和事故发生时采取的挽救措施等因素，按 0.3-1.0 确定赔偿金加权系数。</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（3）已使用年限</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指始于该资产登记入账时间，止于损坏或丢失时间。时间不足一年的按一年计算。</w:t>
      </w:r>
    </w:p>
    <w:p w:rsidR="00B61A9E"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2.资产使用超过折旧年限</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赔偿金=资产原值×（ 1%～ 5%）。</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3.未落实管理责任或者故意毁损的，加倍赔偿。</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4.纳入固定资产管理的低值耐用品赔偿金执行标准：使用一年以内的，按原价 100%赔偿；使用两年以内的，按原价 90%赔偿，依此类推。使用七年以上的，均按原价 30%</w:t>
      </w:r>
      <w:r w:rsidR="00E2343C">
        <w:rPr>
          <w:rFonts w:ascii="黑体" w:eastAsia="黑体" w:hAnsi="黑体" w:cs="Times New Roman"/>
          <w:kern w:val="2"/>
          <w:sz w:val="21"/>
          <w:szCs w:val="20"/>
        </w:rPr>
        <w:t>赔</w:t>
      </w:r>
      <w:r w:rsidR="00E2343C" w:rsidRPr="00BB12A8">
        <w:rPr>
          <w:rFonts w:ascii="黑体" w:eastAsia="黑体" w:hAnsi="黑体" w:cs="Times New Roman"/>
          <w:kern w:val="2"/>
          <w:sz w:val="21"/>
          <w:szCs w:val="20"/>
        </w:rPr>
        <w:t>偿</w:t>
      </w:r>
      <w:r w:rsidR="00E2343C">
        <w:rPr>
          <w:rFonts w:ascii="黑体" w:eastAsia="黑体" w:hAnsi="黑体" w:cs="Times New Roman"/>
          <w:kern w:val="2"/>
          <w:sz w:val="21"/>
          <w:szCs w:val="20"/>
        </w:rPr>
        <w:t>。</w:t>
      </w:r>
    </w:p>
    <w:p w:rsidR="00E2343C"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5.图书资料的赔偿</w:t>
      </w:r>
    </w:p>
    <w:p w:rsidR="00BB12A8" w:rsidRPr="009D50BF" w:rsidRDefault="00BB12A8" w:rsidP="00E2343C">
      <w:pPr>
        <w:pStyle w:val="a4"/>
        <w:shd w:val="clear" w:color="auto" w:fill="FFFFFF"/>
        <w:spacing w:before="0" w:beforeAutospacing="0" w:after="0" w:afterAutospacing="0" w:line="380" w:lineRule="exact"/>
        <w:ind w:firstLineChars="200" w:firstLine="420"/>
        <w:rPr>
          <w:rFonts w:ascii="黑体" w:eastAsia="黑体" w:hAnsi="黑体" w:cs="Times New Roman"/>
          <w:kern w:val="2"/>
          <w:sz w:val="21"/>
          <w:szCs w:val="20"/>
        </w:rPr>
      </w:pPr>
      <w:r w:rsidRPr="00BB12A8">
        <w:rPr>
          <w:rFonts w:ascii="黑体" w:eastAsia="黑体" w:hAnsi="黑体" w:cs="Times New Roman"/>
          <w:kern w:val="2"/>
          <w:sz w:val="21"/>
          <w:szCs w:val="20"/>
        </w:rPr>
        <w:t>按图书馆制定的有关规定执行。</w:t>
      </w:r>
    </w:p>
    <w:sectPr w:rsidR="00BB12A8" w:rsidRPr="009D50BF" w:rsidSect="00AD3D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BB" w:rsidRDefault="00B114BB" w:rsidP="00003415">
      <w:pPr>
        <w:rPr>
          <w:rFonts w:hint="eastAsia"/>
        </w:rPr>
      </w:pPr>
      <w:r>
        <w:separator/>
      </w:r>
    </w:p>
  </w:endnote>
  <w:endnote w:type="continuationSeparator" w:id="0">
    <w:p w:rsidR="00B114BB" w:rsidRDefault="00B114BB" w:rsidP="000034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微软雅黑"/>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BB" w:rsidRDefault="00B114BB" w:rsidP="00003415">
      <w:pPr>
        <w:rPr>
          <w:rFonts w:hint="eastAsia"/>
        </w:rPr>
      </w:pPr>
      <w:r>
        <w:separator/>
      </w:r>
    </w:p>
  </w:footnote>
  <w:footnote w:type="continuationSeparator" w:id="0">
    <w:p w:rsidR="00B114BB" w:rsidRDefault="00B114BB" w:rsidP="0000341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28AB"/>
    <w:rsid w:val="00003415"/>
    <w:rsid w:val="000069A8"/>
    <w:rsid w:val="00063BE2"/>
    <w:rsid w:val="000C0729"/>
    <w:rsid w:val="000D0F10"/>
    <w:rsid w:val="0012725B"/>
    <w:rsid w:val="001E28AB"/>
    <w:rsid w:val="002F4B67"/>
    <w:rsid w:val="00354F8A"/>
    <w:rsid w:val="003B55DF"/>
    <w:rsid w:val="00482F8D"/>
    <w:rsid w:val="005F24A4"/>
    <w:rsid w:val="00607332"/>
    <w:rsid w:val="00626E09"/>
    <w:rsid w:val="00677DF2"/>
    <w:rsid w:val="006C1F6A"/>
    <w:rsid w:val="00701D78"/>
    <w:rsid w:val="00875041"/>
    <w:rsid w:val="009D50BF"/>
    <w:rsid w:val="00A05C50"/>
    <w:rsid w:val="00A14B21"/>
    <w:rsid w:val="00A7367F"/>
    <w:rsid w:val="00AC76B2"/>
    <w:rsid w:val="00AD3DA3"/>
    <w:rsid w:val="00AD5964"/>
    <w:rsid w:val="00B114BB"/>
    <w:rsid w:val="00B25270"/>
    <w:rsid w:val="00B61A9E"/>
    <w:rsid w:val="00B72311"/>
    <w:rsid w:val="00BB12A8"/>
    <w:rsid w:val="00CA2AEC"/>
    <w:rsid w:val="00CB2655"/>
    <w:rsid w:val="00D1447D"/>
    <w:rsid w:val="00E2343C"/>
    <w:rsid w:val="00EF124A"/>
    <w:rsid w:val="00EF4F6B"/>
    <w:rsid w:val="00FC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E28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28AB"/>
    <w:rPr>
      <w:b/>
      <w:bCs/>
    </w:rPr>
  </w:style>
  <w:style w:type="paragraph" w:styleId="a6">
    <w:name w:val="Balloon Text"/>
    <w:basedOn w:val="a"/>
    <w:link w:val="Char"/>
    <w:uiPriority w:val="99"/>
    <w:semiHidden/>
    <w:unhideWhenUsed/>
    <w:rsid w:val="003B55DF"/>
    <w:rPr>
      <w:sz w:val="18"/>
      <w:szCs w:val="18"/>
    </w:rPr>
  </w:style>
  <w:style w:type="character" w:customStyle="1" w:styleId="Char">
    <w:name w:val="批注框文本 Char"/>
    <w:basedOn w:val="a0"/>
    <w:link w:val="a6"/>
    <w:uiPriority w:val="99"/>
    <w:semiHidden/>
    <w:rsid w:val="003B55DF"/>
    <w:rPr>
      <w:sz w:val="18"/>
      <w:szCs w:val="18"/>
    </w:rPr>
  </w:style>
  <w:style w:type="paragraph" w:styleId="a7">
    <w:name w:val="header"/>
    <w:basedOn w:val="a"/>
    <w:link w:val="Char0"/>
    <w:uiPriority w:val="99"/>
    <w:unhideWhenUsed/>
    <w:rsid w:val="000034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3415"/>
    <w:rPr>
      <w:sz w:val="18"/>
      <w:szCs w:val="18"/>
    </w:rPr>
  </w:style>
  <w:style w:type="paragraph" w:styleId="a8">
    <w:name w:val="footer"/>
    <w:basedOn w:val="a"/>
    <w:link w:val="Char1"/>
    <w:uiPriority w:val="99"/>
    <w:unhideWhenUsed/>
    <w:rsid w:val="00003415"/>
    <w:pPr>
      <w:tabs>
        <w:tab w:val="center" w:pos="4153"/>
        <w:tab w:val="right" w:pos="8306"/>
      </w:tabs>
      <w:snapToGrid w:val="0"/>
      <w:jc w:val="left"/>
    </w:pPr>
    <w:rPr>
      <w:sz w:val="18"/>
      <w:szCs w:val="18"/>
    </w:rPr>
  </w:style>
  <w:style w:type="character" w:customStyle="1" w:styleId="Char1">
    <w:name w:val="页脚 Char"/>
    <w:basedOn w:val="a0"/>
    <w:link w:val="a8"/>
    <w:uiPriority w:val="99"/>
    <w:rsid w:val="00003415"/>
    <w:rPr>
      <w:sz w:val="18"/>
      <w:szCs w:val="18"/>
    </w:rPr>
  </w:style>
  <w:style w:type="character" w:customStyle="1" w:styleId="fontstyle01">
    <w:name w:val="fontstyle01"/>
    <w:basedOn w:val="a0"/>
    <w:rsid w:val="00BB12A8"/>
    <w:rPr>
      <w:rFonts w:ascii="仿宋_GB2312" w:eastAsia="仿宋_GB2312" w:hint="eastAsia"/>
      <w:b w:val="0"/>
      <w:bCs w:val="0"/>
      <w:i w:val="0"/>
      <w:iCs w:val="0"/>
      <w:color w:val="000000"/>
      <w:sz w:val="32"/>
      <w:szCs w:val="32"/>
    </w:rPr>
  </w:style>
  <w:style w:type="character" w:customStyle="1" w:styleId="fontstyle21">
    <w:name w:val="fontstyle21"/>
    <w:basedOn w:val="a0"/>
    <w:rsid w:val="00BB12A8"/>
    <w:rPr>
      <w:rFonts w:ascii="宋体" w:eastAsia="宋体" w:hAnsi="宋体" w:hint="eastAsia"/>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E28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28AB"/>
    <w:rPr>
      <w:b/>
      <w:bCs/>
    </w:rPr>
  </w:style>
  <w:style w:type="paragraph" w:styleId="a6">
    <w:name w:val="Balloon Text"/>
    <w:basedOn w:val="a"/>
    <w:link w:val="Char"/>
    <w:uiPriority w:val="99"/>
    <w:semiHidden/>
    <w:unhideWhenUsed/>
    <w:rsid w:val="003B55DF"/>
    <w:rPr>
      <w:sz w:val="18"/>
      <w:szCs w:val="18"/>
    </w:rPr>
  </w:style>
  <w:style w:type="character" w:customStyle="1" w:styleId="Char">
    <w:name w:val="批注框文本 Char"/>
    <w:basedOn w:val="a0"/>
    <w:link w:val="a6"/>
    <w:uiPriority w:val="99"/>
    <w:semiHidden/>
    <w:rsid w:val="003B55DF"/>
    <w:rPr>
      <w:sz w:val="18"/>
      <w:szCs w:val="18"/>
    </w:rPr>
  </w:style>
  <w:style w:type="paragraph" w:styleId="a7">
    <w:name w:val="header"/>
    <w:basedOn w:val="a"/>
    <w:link w:val="Char0"/>
    <w:uiPriority w:val="99"/>
    <w:unhideWhenUsed/>
    <w:rsid w:val="000034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3415"/>
    <w:rPr>
      <w:sz w:val="18"/>
      <w:szCs w:val="18"/>
    </w:rPr>
  </w:style>
  <w:style w:type="paragraph" w:styleId="a8">
    <w:name w:val="footer"/>
    <w:basedOn w:val="a"/>
    <w:link w:val="Char1"/>
    <w:uiPriority w:val="99"/>
    <w:unhideWhenUsed/>
    <w:rsid w:val="00003415"/>
    <w:pPr>
      <w:tabs>
        <w:tab w:val="center" w:pos="4153"/>
        <w:tab w:val="right" w:pos="8306"/>
      </w:tabs>
      <w:snapToGrid w:val="0"/>
      <w:jc w:val="left"/>
    </w:pPr>
    <w:rPr>
      <w:sz w:val="18"/>
      <w:szCs w:val="18"/>
    </w:rPr>
  </w:style>
  <w:style w:type="character" w:customStyle="1" w:styleId="Char1">
    <w:name w:val="页脚 Char"/>
    <w:basedOn w:val="a0"/>
    <w:link w:val="a8"/>
    <w:uiPriority w:val="99"/>
    <w:rsid w:val="000034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6568">
      <w:bodyDiv w:val="1"/>
      <w:marLeft w:val="0"/>
      <w:marRight w:val="0"/>
      <w:marTop w:val="0"/>
      <w:marBottom w:val="0"/>
      <w:divBdr>
        <w:top w:val="none" w:sz="0" w:space="0" w:color="auto"/>
        <w:left w:val="none" w:sz="0" w:space="0" w:color="auto"/>
        <w:bottom w:val="none" w:sz="0" w:space="0" w:color="auto"/>
        <w:right w:val="none" w:sz="0" w:space="0" w:color="auto"/>
      </w:divBdr>
    </w:div>
    <w:div w:id="384111662">
      <w:bodyDiv w:val="1"/>
      <w:marLeft w:val="0"/>
      <w:marRight w:val="0"/>
      <w:marTop w:val="0"/>
      <w:marBottom w:val="0"/>
      <w:divBdr>
        <w:top w:val="none" w:sz="0" w:space="0" w:color="auto"/>
        <w:left w:val="none" w:sz="0" w:space="0" w:color="auto"/>
        <w:bottom w:val="none" w:sz="0" w:space="0" w:color="auto"/>
        <w:right w:val="none" w:sz="0" w:space="0" w:color="auto"/>
      </w:divBdr>
    </w:div>
    <w:div w:id="859200427">
      <w:bodyDiv w:val="1"/>
      <w:marLeft w:val="0"/>
      <w:marRight w:val="0"/>
      <w:marTop w:val="0"/>
      <w:marBottom w:val="0"/>
      <w:divBdr>
        <w:top w:val="none" w:sz="0" w:space="0" w:color="auto"/>
        <w:left w:val="none" w:sz="0" w:space="0" w:color="auto"/>
        <w:bottom w:val="none" w:sz="0" w:space="0" w:color="auto"/>
        <w:right w:val="none" w:sz="0" w:space="0" w:color="auto"/>
      </w:divBdr>
    </w:div>
    <w:div w:id="1176992772">
      <w:bodyDiv w:val="1"/>
      <w:marLeft w:val="0"/>
      <w:marRight w:val="0"/>
      <w:marTop w:val="0"/>
      <w:marBottom w:val="0"/>
      <w:divBdr>
        <w:top w:val="none" w:sz="0" w:space="0" w:color="auto"/>
        <w:left w:val="none" w:sz="0" w:space="0" w:color="auto"/>
        <w:bottom w:val="none" w:sz="0" w:space="0" w:color="auto"/>
        <w:right w:val="none" w:sz="0" w:space="0" w:color="auto"/>
      </w:divBdr>
    </w:div>
    <w:div w:id="1504474288">
      <w:bodyDiv w:val="1"/>
      <w:marLeft w:val="0"/>
      <w:marRight w:val="0"/>
      <w:marTop w:val="0"/>
      <w:marBottom w:val="0"/>
      <w:divBdr>
        <w:top w:val="none" w:sz="0" w:space="0" w:color="auto"/>
        <w:left w:val="none" w:sz="0" w:space="0" w:color="auto"/>
        <w:bottom w:val="none" w:sz="0" w:space="0" w:color="auto"/>
        <w:right w:val="none" w:sz="0" w:space="0" w:color="auto"/>
      </w:divBdr>
    </w:div>
    <w:div w:id="1689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213</Words>
  <Characters>1217</Characters>
  <Application>Microsoft Office Word</Application>
  <DocSecurity>0</DocSecurity>
  <Lines>10</Lines>
  <Paragraphs>2</Paragraphs>
  <ScaleCrop>false</ScaleCrop>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19</cp:revision>
  <cp:lastPrinted>2019-11-19T02:31:00Z</cp:lastPrinted>
  <dcterms:created xsi:type="dcterms:W3CDTF">2019-11-19T01:38:00Z</dcterms:created>
  <dcterms:modified xsi:type="dcterms:W3CDTF">2020-01-02T10:13:00Z</dcterms:modified>
</cp:coreProperties>
</file>